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B8B078D" w14:textId="77777777" w:rsidR="00FE404F" w:rsidRPr="00FE404F" w:rsidRDefault="00FE404F" w:rsidP="00FE404F">
      <w:pPr>
        <w:shd w:val="clear" w:color="auto" w:fill="FFFFFF"/>
        <w:spacing w:after="100" w:afterAutospacing="1" w:line="240" w:lineRule="auto"/>
        <w:outlineLvl w:val="2"/>
        <w:rPr>
          <w:rFonts w:ascii="Arial" w:eastAsia="Times New Roman" w:hAnsi="Arial" w:cs="Arial"/>
          <w:color w:val="000000"/>
          <w:sz w:val="27"/>
          <w:szCs w:val="27"/>
        </w:rPr>
      </w:pPr>
      <w:r w:rsidRPr="00FE404F">
        <w:rPr>
          <w:rFonts w:ascii="Arial" w:eastAsia="Times New Roman" w:hAnsi="Arial" w:cs="Arial"/>
          <w:color w:val="000000"/>
          <w:sz w:val="27"/>
          <w:szCs w:val="27"/>
        </w:rPr>
        <w:t>Measuring Corporate Performance: Financial Statement Analysis</w:t>
      </w:r>
    </w:p>
    <w:p w14:paraId="2FAD8204" w14:textId="77777777" w:rsidR="00FE404F" w:rsidRPr="00FE404F" w:rsidRDefault="00FE404F" w:rsidP="00FE404F">
      <w:pPr>
        <w:shd w:val="clear" w:color="auto" w:fill="FFFFFF"/>
        <w:spacing w:after="100" w:afterAutospacing="1" w:line="240" w:lineRule="auto"/>
        <w:rPr>
          <w:rFonts w:ascii="Arial" w:eastAsia="Times New Roman" w:hAnsi="Arial" w:cs="Arial"/>
          <w:color w:val="000000"/>
          <w:sz w:val="21"/>
          <w:szCs w:val="21"/>
        </w:rPr>
      </w:pPr>
      <w:r w:rsidRPr="00FE404F">
        <w:rPr>
          <w:rFonts w:ascii="Arial" w:eastAsia="Times New Roman" w:hAnsi="Arial" w:cs="Arial"/>
          <w:color w:val="000000"/>
          <w:sz w:val="21"/>
          <w:szCs w:val="21"/>
        </w:rPr>
        <w:t>The goal of this assignment is to expand your understanding of the uses of financial statement information. This project is based on the information provided in Ch. 4. We will examine the financial performance of McDonald’s and one of its competitors. You will need to select a competitor.</w:t>
      </w:r>
    </w:p>
    <w:p w14:paraId="2E61AC78" w14:textId="77777777" w:rsidR="00FE404F" w:rsidRPr="00FE404F" w:rsidRDefault="00FE404F" w:rsidP="00FE404F">
      <w:pPr>
        <w:shd w:val="clear" w:color="auto" w:fill="FFFFFF"/>
        <w:spacing w:after="100" w:afterAutospacing="1" w:line="240" w:lineRule="auto"/>
        <w:rPr>
          <w:rFonts w:ascii="Arial" w:eastAsia="Times New Roman" w:hAnsi="Arial" w:cs="Arial"/>
          <w:color w:val="000000"/>
          <w:sz w:val="21"/>
          <w:szCs w:val="21"/>
        </w:rPr>
      </w:pPr>
      <w:r w:rsidRPr="00FE404F">
        <w:rPr>
          <w:rFonts w:ascii="Arial" w:eastAsia="Times New Roman" w:hAnsi="Arial" w:cs="Arial"/>
          <w:color w:val="000000"/>
          <w:sz w:val="21"/>
          <w:szCs w:val="21"/>
        </w:rPr>
        <w:t>Obtain financial statements and market data (current stock price, number of shares outstanding) for the two companies from its Hoover’s dataset (easy and available through the library website), company’s website, finance.yahoo.com, money.msn.com, SEC.gov, or Edgar (also easy and available through the library website).</w:t>
      </w:r>
    </w:p>
    <w:p w14:paraId="74224956" w14:textId="77777777" w:rsidR="00FE404F" w:rsidRPr="00FE404F" w:rsidRDefault="00FE404F" w:rsidP="00FE404F">
      <w:pPr>
        <w:shd w:val="clear" w:color="auto" w:fill="FFFFFF"/>
        <w:spacing w:after="100" w:afterAutospacing="1" w:line="240" w:lineRule="auto"/>
        <w:rPr>
          <w:rFonts w:ascii="Arial" w:eastAsia="Times New Roman" w:hAnsi="Arial" w:cs="Arial"/>
          <w:color w:val="000000"/>
          <w:sz w:val="21"/>
          <w:szCs w:val="21"/>
        </w:rPr>
      </w:pPr>
      <w:r w:rsidRPr="00FE404F">
        <w:rPr>
          <w:rFonts w:ascii="Arial" w:eastAsia="Times New Roman" w:hAnsi="Arial" w:cs="Arial"/>
          <w:color w:val="000000"/>
          <w:sz w:val="21"/>
          <w:szCs w:val="21"/>
        </w:rPr>
        <w:t>Calculate following ratios and measures for McDonald’s and the company you selected and compare them to the industry ratios. McDonald’s is usually classified as a quick service restaurant, but depending on the competitor you pick, you may be able to justify another industry classification. Here are the ratios that you will need to calculate:</w:t>
      </w:r>
    </w:p>
    <w:p w14:paraId="62646EF6" w14:textId="77777777" w:rsidR="00FE404F" w:rsidRPr="00FE404F" w:rsidRDefault="00FE404F" w:rsidP="00FE404F">
      <w:pPr>
        <w:numPr>
          <w:ilvl w:val="0"/>
          <w:numId w:val="1"/>
        </w:numPr>
        <w:shd w:val="clear" w:color="auto" w:fill="FFFFFF"/>
        <w:spacing w:before="100" w:beforeAutospacing="1" w:after="100" w:afterAutospacing="1" w:line="240" w:lineRule="auto"/>
        <w:rPr>
          <w:rFonts w:ascii="Arial" w:eastAsia="Times New Roman" w:hAnsi="Arial" w:cs="Arial"/>
          <w:color w:val="000000"/>
          <w:sz w:val="21"/>
          <w:szCs w:val="21"/>
        </w:rPr>
      </w:pPr>
      <w:r w:rsidRPr="00FE404F">
        <w:rPr>
          <w:rFonts w:ascii="Arial" w:eastAsia="Times New Roman" w:hAnsi="Arial" w:cs="Arial"/>
          <w:color w:val="000000"/>
          <w:sz w:val="21"/>
          <w:szCs w:val="21"/>
        </w:rPr>
        <w:t>Performance measures:</w:t>
      </w:r>
    </w:p>
    <w:p w14:paraId="4201C3FC" w14:textId="77777777" w:rsidR="00FE404F" w:rsidRPr="00FE404F" w:rsidRDefault="00FE404F" w:rsidP="00FE404F">
      <w:pPr>
        <w:numPr>
          <w:ilvl w:val="1"/>
          <w:numId w:val="1"/>
        </w:numPr>
        <w:shd w:val="clear" w:color="auto" w:fill="FFFFFF"/>
        <w:spacing w:before="100" w:beforeAutospacing="1" w:after="100" w:afterAutospacing="1" w:line="240" w:lineRule="auto"/>
        <w:rPr>
          <w:rFonts w:ascii="Arial" w:eastAsia="Times New Roman" w:hAnsi="Arial" w:cs="Arial"/>
          <w:color w:val="000000"/>
          <w:sz w:val="21"/>
          <w:szCs w:val="21"/>
        </w:rPr>
      </w:pPr>
      <w:r w:rsidRPr="00FE404F">
        <w:rPr>
          <w:rFonts w:ascii="Arial" w:eastAsia="Times New Roman" w:hAnsi="Arial" w:cs="Arial"/>
          <w:color w:val="000000"/>
          <w:sz w:val="21"/>
          <w:szCs w:val="21"/>
        </w:rPr>
        <w:t>Market value added (MVA)</w:t>
      </w:r>
    </w:p>
    <w:p w14:paraId="58C8749C" w14:textId="77777777" w:rsidR="00FE404F" w:rsidRPr="00FE404F" w:rsidRDefault="00FE404F" w:rsidP="00FE404F">
      <w:pPr>
        <w:numPr>
          <w:ilvl w:val="1"/>
          <w:numId w:val="1"/>
        </w:numPr>
        <w:shd w:val="clear" w:color="auto" w:fill="FFFFFF"/>
        <w:spacing w:before="100" w:beforeAutospacing="1" w:after="100" w:afterAutospacing="1" w:line="240" w:lineRule="auto"/>
        <w:rPr>
          <w:rFonts w:ascii="Arial" w:eastAsia="Times New Roman" w:hAnsi="Arial" w:cs="Arial"/>
          <w:color w:val="000000"/>
          <w:sz w:val="21"/>
          <w:szCs w:val="21"/>
        </w:rPr>
      </w:pPr>
      <w:r w:rsidRPr="00FE404F">
        <w:rPr>
          <w:rFonts w:ascii="Arial" w:eastAsia="Times New Roman" w:hAnsi="Arial" w:cs="Arial"/>
          <w:color w:val="000000"/>
          <w:sz w:val="21"/>
          <w:szCs w:val="21"/>
        </w:rPr>
        <w:t>Market-to-book ratio</w:t>
      </w:r>
    </w:p>
    <w:p w14:paraId="1D2E6B40" w14:textId="77777777" w:rsidR="00FE404F" w:rsidRPr="00FE404F" w:rsidRDefault="00FE404F" w:rsidP="00FE404F">
      <w:pPr>
        <w:numPr>
          <w:ilvl w:val="0"/>
          <w:numId w:val="1"/>
        </w:numPr>
        <w:shd w:val="clear" w:color="auto" w:fill="FFFFFF"/>
        <w:spacing w:before="100" w:beforeAutospacing="1" w:after="100" w:afterAutospacing="1" w:line="240" w:lineRule="auto"/>
        <w:rPr>
          <w:rFonts w:ascii="Arial" w:eastAsia="Times New Roman" w:hAnsi="Arial" w:cs="Arial"/>
          <w:color w:val="000000"/>
          <w:sz w:val="21"/>
          <w:szCs w:val="21"/>
        </w:rPr>
      </w:pPr>
      <w:r w:rsidRPr="00FE404F">
        <w:rPr>
          <w:rFonts w:ascii="Arial" w:eastAsia="Times New Roman" w:hAnsi="Arial" w:cs="Arial"/>
          <w:color w:val="000000"/>
          <w:sz w:val="21"/>
          <w:szCs w:val="21"/>
        </w:rPr>
        <w:t>Economic value added and profitability measures:</w:t>
      </w:r>
    </w:p>
    <w:p w14:paraId="18D54347" w14:textId="77777777" w:rsidR="00FE404F" w:rsidRPr="00FE404F" w:rsidRDefault="00FE404F" w:rsidP="00FE404F">
      <w:pPr>
        <w:numPr>
          <w:ilvl w:val="1"/>
          <w:numId w:val="1"/>
        </w:numPr>
        <w:shd w:val="clear" w:color="auto" w:fill="FFFFFF"/>
        <w:spacing w:before="100" w:beforeAutospacing="1" w:after="100" w:afterAutospacing="1" w:line="240" w:lineRule="auto"/>
        <w:rPr>
          <w:rFonts w:ascii="Arial" w:eastAsia="Times New Roman" w:hAnsi="Arial" w:cs="Arial"/>
          <w:color w:val="000000"/>
          <w:sz w:val="21"/>
          <w:szCs w:val="21"/>
        </w:rPr>
      </w:pPr>
      <w:r w:rsidRPr="00FE404F">
        <w:rPr>
          <w:rFonts w:ascii="Arial" w:eastAsia="Times New Roman" w:hAnsi="Arial" w:cs="Arial"/>
          <w:color w:val="000000"/>
          <w:sz w:val="21"/>
          <w:szCs w:val="21"/>
        </w:rPr>
        <w:t>EVA</w:t>
      </w:r>
    </w:p>
    <w:p w14:paraId="4882CA24" w14:textId="77777777" w:rsidR="00FE404F" w:rsidRPr="00FE404F" w:rsidRDefault="00FE404F" w:rsidP="00FE404F">
      <w:pPr>
        <w:numPr>
          <w:ilvl w:val="1"/>
          <w:numId w:val="1"/>
        </w:numPr>
        <w:shd w:val="clear" w:color="auto" w:fill="FFFFFF"/>
        <w:spacing w:before="100" w:beforeAutospacing="1" w:after="100" w:afterAutospacing="1" w:line="240" w:lineRule="auto"/>
        <w:rPr>
          <w:rFonts w:ascii="Arial" w:eastAsia="Times New Roman" w:hAnsi="Arial" w:cs="Arial"/>
          <w:color w:val="000000"/>
          <w:sz w:val="21"/>
          <w:szCs w:val="21"/>
        </w:rPr>
      </w:pPr>
      <w:r w:rsidRPr="00FE404F">
        <w:rPr>
          <w:rFonts w:ascii="Arial" w:eastAsia="Times New Roman" w:hAnsi="Arial" w:cs="Arial"/>
          <w:color w:val="000000"/>
          <w:sz w:val="21"/>
          <w:szCs w:val="21"/>
        </w:rPr>
        <w:t>Return on capital (ROC)</w:t>
      </w:r>
    </w:p>
    <w:p w14:paraId="5C91AEA1" w14:textId="77777777" w:rsidR="00FE404F" w:rsidRPr="00FE404F" w:rsidRDefault="00FE404F" w:rsidP="00FE404F">
      <w:pPr>
        <w:numPr>
          <w:ilvl w:val="1"/>
          <w:numId w:val="1"/>
        </w:numPr>
        <w:shd w:val="clear" w:color="auto" w:fill="FFFFFF"/>
        <w:spacing w:before="100" w:beforeAutospacing="1" w:after="100" w:afterAutospacing="1" w:line="240" w:lineRule="auto"/>
        <w:rPr>
          <w:rFonts w:ascii="Arial" w:eastAsia="Times New Roman" w:hAnsi="Arial" w:cs="Arial"/>
          <w:color w:val="000000"/>
          <w:sz w:val="21"/>
          <w:szCs w:val="21"/>
        </w:rPr>
      </w:pPr>
      <w:r w:rsidRPr="00FE404F">
        <w:rPr>
          <w:rFonts w:ascii="Arial" w:eastAsia="Times New Roman" w:hAnsi="Arial" w:cs="Arial"/>
          <w:color w:val="000000"/>
          <w:sz w:val="21"/>
          <w:szCs w:val="21"/>
        </w:rPr>
        <w:t>Return on assets (ROA)</w:t>
      </w:r>
    </w:p>
    <w:p w14:paraId="5BE53160" w14:textId="77777777" w:rsidR="00FE404F" w:rsidRPr="00FE404F" w:rsidRDefault="00FE404F" w:rsidP="00FE404F">
      <w:pPr>
        <w:numPr>
          <w:ilvl w:val="1"/>
          <w:numId w:val="1"/>
        </w:numPr>
        <w:shd w:val="clear" w:color="auto" w:fill="FFFFFF"/>
        <w:spacing w:before="100" w:beforeAutospacing="1" w:after="100" w:afterAutospacing="1" w:line="240" w:lineRule="auto"/>
        <w:rPr>
          <w:rFonts w:ascii="Arial" w:eastAsia="Times New Roman" w:hAnsi="Arial" w:cs="Arial"/>
          <w:color w:val="000000"/>
          <w:sz w:val="21"/>
          <w:szCs w:val="21"/>
        </w:rPr>
      </w:pPr>
      <w:r w:rsidRPr="00FE404F">
        <w:rPr>
          <w:rFonts w:ascii="Arial" w:eastAsia="Times New Roman" w:hAnsi="Arial" w:cs="Arial"/>
          <w:color w:val="000000"/>
          <w:sz w:val="21"/>
          <w:szCs w:val="21"/>
        </w:rPr>
        <w:t>Return on equity (ROE)</w:t>
      </w:r>
    </w:p>
    <w:p w14:paraId="02A41662" w14:textId="77777777" w:rsidR="00FE404F" w:rsidRPr="00FE404F" w:rsidRDefault="00FE404F" w:rsidP="00FE404F">
      <w:pPr>
        <w:numPr>
          <w:ilvl w:val="0"/>
          <w:numId w:val="1"/>
        </w:numPr>
        <w:shd w:val="clear" w:color="auto" w:fill="FFFFFF"/>
        <w:spacing w:before="100" w:beforeAutospacing="1" w:after="100" w:afterAutospacing="1" w:line="240" w:lineRule="auto"/>
        <w:rPr>
          <w:rFonts w:ascii="Arial" w:eastAsia="Times New Roman" w:hAnsi="Arial" w:cs="Arial"/>
          <w:color w:val="000000"/>
          <w:sz w:val="21"/>
          <w:szCs w:val="21"/>
        </w:rPr>
      </w:pPr>
      <w:r w:rsidRPr="00FE404F">
        <w:rPr>
          <w:rFonts w:ascii="Arial" w:eastAsia="Times New Roman" w:hAnsi="Arial" w:cs="Arial"/>
          <w:color w:val="000000"/>
          <w:sz w:val="21"/>
          <w:szCs w:val="21"/>
        </w:rPr>
        <w:t>Measuring efficiency—asset management or turnover measures:</w:t>
      </w:r>
    </w:p>
    <w:p w14:paraId="6BFB4D4B" w14:textId="77777777" w:rsidR="00FE404F" w:rsidRPr="00FE404F" w:rsidRDefault="00FE404F" w:rsidP="00FE404F">
      <w:pPr>
        <w:numPr>
          <w:ilvl w:val="1"/>
          <w:numId w:val="1"/>
        </w:numPr>
        <w:shd w:val="clear" w:color="auto" w:fill="FFFFFF"/>
        <w:spacing w:before="100" w:beforeAutospacing="1" w:after="100" w:afterAutospacing="1" w:line="240" w:lineRule="auto"/>
        <w:rPr>
          <w:rFonts w:ascii="Arial" w:eastAsia="Times New Roman" w:hAnsi="Arial" w:cs="Arial"/>
          <w:color w:val="000000"/>
          <w:sz w:val="21"/>
          <w:szCs w:val="21"/>
        </w:rPr>
      </w:pPr>
      <w:r w:rsidRPr="00FE404F">
        <w:rPr>
          <w:rFonts w:ascii="Arial" w:eastAsia="Times New Roman" w:hAnsi="Arial" w:cs="Arial"/>
          <w:color w:val="000000"/>
          <w:sz w:val="21"/>
          <w:szCs w:val="21"/>
        </w:rPr>
        <w:t>Assets turnover</w:t>
      </w:r>
    </w:p>
    <w:p w14:paraId="22D13015" w14:textId="77777777" w:rsidR="00FE404F" w:rsidRPr="00FE404F" w:rsidRDefault="00FE404F" w:rsidP="00FE404F">
      <w:pPr>
        <w:numPr>
          <w:ilvl w:val="1"/>
          <w:numId w:val="1"/>
        </w:numPr>
        <w:shd w:val="clear" w:color="auto" w:fill="FFFFFF"/>
        <w:spacing w:before="100" w:beforeAutospacing="1" w:after="100" w:afterAutospacing="1" w:line="240" w:lineRule="auto"/>
        <w:rPr>
          <w:rFonts w:ascii="Arial" w:eastAsia="Times New Roman" w:hAnsi="Arial" w:cs="Arial"/>
          <w:color w:val="000000"/>
          <w:sz w:val="21"/>
          <w:szCs w:val="21"/>
        </w:rPr>
      </w:pPr>
      <w:r w:rsidRPr="00FE404F">
        <w:rPr>
          <w:rFonts w:ascii="Arial" w:eastAsia="Times New Roman" w:hAnsi="Arial" w:cs="Arial"/>
          <w:color w:val="000000"/>
          <w:sz w:val="21"/>
          <w:szCs w:val="21"/>
        </w:rPr>
        <w:t>Fixed assets turnover</w:t>
      </w:r>
    </w:p>
    <w:p w14:paraId="4E2E6D85" w14:textId="77777777" w:rsidR="00FE404F" w:rsidRPr="00FE404F" w:rsidRDefault="00FE404F" w:rsidP="00FE404F">
      <w:pPr>
        <w:numPr>
          <w:ilvl w:val="1"/>
          <w:numId w:val="1"/>
        </w:numPr>
        <w:shd w:val="clear" w:color="auto" w:fill="FFFFFF"/>
        <w:spacing w:before="100" w:beforeAutospacing="1" w:after="100" w:afterAutospacing="1" w:line="240" w:lineRule="auto"/>
        <w:rPr>
          <w:rFonts w:ascii="Arial" w:eastAsia="Times New Roman" w:hAnsi="Arial" w:cs="Arial"/>
          <w:color w:val="000000"/>
          <w:sz w:val="21"/>
          <w:szCs w:val="21"/>
        </w:rPr>
      </w:pPr>
      <w:r w:rsidRPr="00FE404F">
        <w:rPr>
          <w:rFonts w:ascii="Arial" w:eastAsia="Times New Roman" w:hAnsi="Arial" w:cs="Arial"/>
          <w:color w:val="000000"/>
          <w:sz w:val="21"/>
          <w:szCs w:val="21"/>
        </w:rPr>
        <w:t>Inventory turnover</w:t>
      </w:r>
    </w:p>
    <w:p w14:paraId="662C63A0" w14:textId="77777777" w:rsidR="00FE404F" w:rsidRPr="00FE404F" w:rsidRDefault="00FE404F" w:rsidP="00FE404F">
      <w:pPr>
        <w:numPr>
          <w:ilvl w:val="1"/>
          <w:numId w:val="1"/>
        </w:numPr>
        <w:shd w:val="clear" w:color="auto" w:fill="FFFFFF"/>
        <w:spacing w:before="100" w:beforeAutospacing="1" w:after="100" w:afterAutospacing="1" w:line="240" w:lineRule="auto"/>
        <w:rPr>
          <w:rFonts w:ascii="Arial" w:eastAsia="Times New Roman" w:hAnsi="Arial" w:cs="Arial"/>
          <w:color w:val="000000"/>
          <w:sz w:val="21"/>
          <w:szCs w:val="21"/>
        </w:rPr>
      </w:pPr>
      <w:r w:rsidRPr="00FE404F">
        <w:rPr>
          <w:rFonts w:ascii="Arial" w:eastAsia="Times New Roman" w:hAnsi="Arial" w:cs="Arial"/>
          <w:color w:val="000000"/>
          <w:sz w:val="21"/>
          <w:szCs w:val="21"/>
        </w:rPr>
        <w:t>Average days in inventory</w:t>
      </w:r>
    </w:p>
    <w:p w14:paraId="4FF6E8EF" w14:textId="77777777" w:rsidR="00FE404F" w:rsidRPr="00FE404F" w:rsidRDefault="00FE404F" w:rsidP="00FE404F">
      <w:pPr>
        <w:numPr>
          <w:ilvl w:val="1"/>
          <w:numId w:val="1"/>
        </w:numPr>
        <w:shd w:val="clear" w:color="auto" w:fill="FFFFFF"/>
        <w:spacing w:before="100" w:beforeAutospacing="1" w:after="100" w:afterAutospacing="1" w:line="240" w:lineRule="auto"/>
        <w:rPr>
          <w:rFonts w:ascii="Arial" w:eastAsia="Times New Roman" w:hAnsi="Arial" w:cs="Arial"/>
          <w:color w:val="000000"/>
          <w:sz w:val="21"/>
          <w:szCs w:val="21"/>
        </w:rPr>
      </w:pPr>
      <w:r w:rsidRPr="00FE404F">
        <w:rPr>
          <w:rFonts w:ascii="Arial" w:eastAsia="Times New Roman" w:hAnsi="Arial" w:cs="Arial"/>
          <w:color w:val="000000"/>
          <w:sz w:val="21"/>
          <w:szCs w:val="21"/>
        </w:rPr>
        <w:t>Receivables turnover</w:t>
      </w:r>
    </w:p>
    <w:p w14:paraId="4E5303AC" w14:textId="77777777" w:rsidR="00FE404F" w:rsidRPr="00FE404F" w:rsidRDefault="00FE404F" w:rsidP="00FE404F">
      <w:pPr>
        <w:numPr>
          <w:ilvl w:val="1"/>
          <w:numId w:val="1"/>
        </w:numPr>
        <w:shd w:val="clear" w:color="auto" w:fill="FFFFFF"/>
        <w:spacing w:before="100" w:beforeAutospacing="1" w:after="100" w:afterAutospacing="1" w:line="240" w:lineRule="auto"/>
        <w:rPr>
          <w:rFonts w:ascii="Arial" w:eastAsia="Times New Roman" w:hAnsi="Arial" w:cs="Arial"/>
          <w:color w:val="000000"/>
          <w:sz w:val="21"/>
          <w:szCs w:val="21"/>
        </w:rPr>
      </w:pPr>
      <w:r w:rsidRPr="00FE404F">
        <w:rPr>
          <w:rFonts w:ascii="Arial" w:eastAsia="Times New Roman" w:hAnsi="Arial" w:cs="Arial"/>
          <w:color w:val="000000"/>
          <w:sz w:val="21"/>
          <w:szCs w:val="21"/>
        </w:rPr>
        <w:t>Average collection period</w:t>
      </w:r>
    </w:p>
    <w:p w14:paraId="61C0B812" w14:textId="77777777" w:rsidR="00FE404F" w:rsidRPr="00FE404F" w:rsidRDefault="00FE404F" w:rsidP="00FE404F">
      <w:pPr>
        <w:numPr>
          <w:ilvl w:val="0"/>
          <w:numId w:val="1"/>
        </w:numPr>
        <w:shd w:val="clear" w:color="auto" w:fill="FFFFFF"/>
        <w:spacing w:before="100" w:beforeAutospacing="1" w:after="100" w:afterAutospacing="1" w:line="240" w:lineRule="auto"/>
        <w:rPr>
          <w:rFonts w:ascii="Arial" w:eastAsia="Times New Roman" w:hAnsi="Arial" w:cs="Arial"/>
          <w:color w:val="000000"/>
          <w:sz w:val="21"/>
          <w:szCs w:val="21"/>
        </w:rPr>
      </w:pPr>
      <w:r w:rsidRPr="00FE404F">
        <w:rPr>
          <w:rFonts w:ascii="Arial" w:eastAsia="Times New Roman" w:hAnsi="Arial" w:cs="Arial"/>
          <w:color w:val="000000"/>
          <w:sz w:val="21"/>
          <w:szCs w:val="21"/>
        </w:rPr>
        <w:t>Analyzing the return on assets</w:t>
      </w:r>
    </w:p>
    <w:p w14:paraId="39627B88" w14:textId="77777777" w:rsidR="00FE404F" w:rsidRPr="00FE404F" w:rsidRDefault="00FE404F" w:rsidP="00FE404F">
      <w:pPr>
        <w:numPr>
          <w:ilvl w:val="1"/>
          <w:numId w:val="1"/>
        </w:numPr>
        <w:shd w:val="clear" w:color="auto" w:fill="FFFFFF"/>
        <w:spacing w:before="100" w:beforeAutospacing="1" w:after="100" w:afterAutospacing="1" w:line="240" w:lineRule="auto"/>
        <w:rPr>
          <w:rFonts w:ascii="Arial" w:eastAsia="Times New Roman" w:hAnsi="Arial" w:cs="Arial"/>
          <w:color w:val="000000"/>
          <w:sz w:val="21"/>
          <w:szCs w:val="21"/>
        </w:rPr>
      </w:pPr>
      <w:r w:rsidRPr="00FE404F">
        <w:rPr>
          <w:rFonts w:ascii="Arial" w:eastAsia="Times New Roman" w:hAnsi="Arial" w:cs="Arial"/>
          <w:color w:val="000000"/>
          <w:sz w:val="21"/>
          <w:szCs w:val="21"/>
        </w:rPr>
        <w:t>Profit margin</w:t>
      </w:r>
    </w:p>
    <w:p w14:paraId="1229E6F4" w14:textId="77777777" w:rsidR="00FE404F" w:rsidRPr="00FE404F" w:rsidRDefault="00FE404F" w:rsidP="00FE404F">
      <w:pPr>
        <w:numPr>
          <w:ilvl w:val="1"/>
          <w:numId w:val="1"/>
        </w:numPr>
        <w:shd w:val="clear" w:color="auto" w:fill="FFFFFF"/>
        <w:spacing w:before="100" w:beforeAutospacing="1" w:after="100" w:afterAutospacing="1" w:line="240" w:lineRule="auto"/>
        <w:rPr>
          <w:rFonts w:ascii="Arial" w:eastAsia="Times New Roman" w:hAnsi="Arial" w:cs="Arial"/>
          <w:color w:val="000000"/>
          <w:sz w:val="21"/>
          <w:szCs w:val="21"/>
        </w:rPr>
      </w:pPr>
      <w:r w:rsidRPr="00FE404F">
        <w:rPr>
          <w:rFonts w:ascii="Arial" w:eastAsia="Times New Roman" w:hAnsi="Arial" w:cs="Arial"/>
          <w:color w:val="000000"/>
          <w:sz w:val="21"/>
          <w:szCs w:val="21"/>
        </w:rPr>
        <w:t>Operating profit margin</w:t>
      </w:r>
    </w:p>
    <w:p w14:paraId="6C8DCA3F" w14:textId="77777777" w:rsidR="00FE404F" w:rsidRPr="00FE404F" w:rsidRDefault="00FE404F" w:rsidP="00FE404F">
      <w:pPr>
        <w:numPr>
          <w:ilvl w:val="1"/>
          <w:numId w:val="1"/>
        </w:numPr>
        <w:shd w:val="clear" w:color="auto" w:fill="FFFFFF"/>
        <w:spacing w:before="100" w:beforeAutospacing="1" w:after="100" w:afterAutospacing="1" w:line="240" w:lineRule="auto"/>
        <w:rPr>
          <w:rFonts w:ascii="Arial" w:eastAsia="Times New Roman" w:hAnsi="Arial" w:cs="Arial"/>
          <w:color w:val="000000"/>
          <w:sz w:val="21"/>
          <w:szCs w:val="21"/>
        </w:rPr>
      </w:pPr>
      <w:r w:rsidRPr="00FE404F">
        <w:rPr>
          <w:rFonts w:ascii="Arial" w:eastAsia="Times New Roman" w:hAnsi="Arial" w:cs="Arial"/>
          <w:color w:val="000000"/>
          <w:sz w:val="21"/>
          <w:szCs w:val="21"/>
        </w:rPr>
        <w:t>The DuPont system</w:t>
      </w:r>
    </w:p>
    <w:p w14:paraId="1694C827" w14:textId="77777777" w:rsidR="00FE404F" w:rsidRPr="00FE404F" w:rsidRDefault="00FE404F" w:rsidP="00FE404F">
      <w:pPr>
        <w:numPr>
          <w:ilvl w:val="0"/>
          <w:numId w:val="1"/>
        </w:numPr>
        <w:shd w:val="clear" w:color="auto" w:fill="FFFFFF"/>
        <w:spacing w:before="100" w:beforeAutospacing="1" w:after="100" w:afterAutospacing="1" w:line="240" w:lineRule="auto"/>
        <w:rPr>
          <w:rFonts w:ascii="Arial" w:eastAsia="Times New Roman" w:hAnsi="Arial" w:cs="Arial"/>
          <w:color w:val="000000"/>
          <w:sz w:val="21"/>
          <w:szCs w:val="21"/>
        </w:rPr>
      </w:pPr>
      <w:r w:rsidRPr="00FE404F">
        <w:rPr>
          <w:rFonts w:ascii="Arial" w:eastAsia="Times New Roman" w:hAnsi="Arial" w:cs="Arial"/>
          <w:color w:val="000000"/>
          <w:sz w:val="21"/>
          <w:szCs w:val="21"/>
        </w:rPr>
        <w:t>Measuring financial leverage—long-term solvency measures</w:t>
      </w:r>
    </w:p>
    <w:p w14:paraId="64CF3DFB" w14:textId="77777777" w:rsidR="00FE404F" w:rsidRPr="00FE404F" w:rsidRDefault="00FE404F" w:rsidP="00FE404F">
      <w:pPr>
        <w:numPr>
          <w:ilvl w:val="1"/>
          <w:numId w:val="1"/>
        </w:numPr>
        <w:shd w:val="clear" w:color="auto" w:fill="FFFFFF"/>
        <w:spacing w:before="100" w:beforeAutospacing="1" w:after="100" w:afterAutospacing="1" w:line="240" w:lineRule="auto"/>
        <w:rPr>
          <w:rFonts w:ascii="Arial" w:eastAsia="Times New Roman" w:hAnsi="Arial" w:cs="Arial"/>
          <w:color w:val="000000"/>
          <w:sz w:val="21"/>
          <w:szCs w:val="21"/>
        </w:rPr>
      </w:pPr>
      <w:r w:rsidRPr="00FE404F">
        <w:rPr>
          <w:rFonts w:ascii="Arial" w:eastAsia="Times New Roman" w:hAnsi="Arial" w:cs="Arial"/>
          <w:color w:val="000000"/>
          <w:sz w:val="21"/>
          <w:szCs w:val="21"/>
        </w:rPr>
        <w:t>Long-term debt ratio</w:t>
      </w:r>
    </w:p>
    <w:p w14:paraId="7D89C0C3" w14:textId="77777777" w:rsidR="00FE404F" w:rsidRPr="00FE404F" w:rsidRDefault="00FE404F" w:rsidP="00FE404F">
      <w:pPr>
        <w:numPr>
          <w:ilvl w:val="1"/>
          <w:numId w:val="1"/>
        </w:numPr>
        <w:shd w:val="clear" w:color="auto" w:fill="FFFFFF"/>
        <w:spacing w:before="100" w:beforeAutospacing="1" w:after="100" w:afterAutospacing="1" w:line="240" w:lineRule="auto"/>
        <w:rPr>
          <w:rFonts w:ascii="Arial" w:eastAsia="Times New Roman" w:hAnsi="Arial" w:cs="Arial"/>
          <w:color w:val="000000"/>
          <w:sz w:val="21"/>
          <w:szCs w:val="21"/>
        </w:rPr>
      </w:pPr>
      <w:r w:rsidRPr="00FE404F">
        <w:rPr>
          <w:rFonts w:ascii="Arial" w:eastAsia="Times New Roman" w:hAnsi="Arial" w:cs="Arial"/>
          <w:color w:val="000000"/>
          <w:sz w:val="21"/>
          <w:szCs w:val="21"/>
        </w:rPr>
        <w:t>Long-term debt–equity ratio</w:t>
      </w:r>
    </w:p>
    <w:p w14:paraId="28B4FF56" w14:textId="77777777" w:rsidR="00FE404F" w:rsidRPr="00FE404F" w:rsidRDefault="00FE404F" w:rsidP="00FE404F">
      <w:pPr>
        <w:numPr>
          <w:ilvl w:val="1"/>
          <w:numId w:val="1"/>
        </w:numPr>
        <w:shd w:val="clear" w:color="auto" w:fill="FFFFFF"/>
        <w:spacing w:before="100" w:beforeAutospacing="1" w:after="100" w:afterAutospacing="1" w:line="240" w:lineRule="auto"/>
        <w:rPr>
          <w:rFonts w:ascii="Arial" w:eastAsia="Times New Roman" w:hAnsi="Arial" w:cs="Arial"/>
          <w:color w:val="000000"/>
          <w:sz w:val="21"/>
          <w:szCs w:val="21"/>
        </w:rPr>
      </w:pPr>
      <w:r w:rsidRPr="00FE404F">
        <w:rPr>
          <w:rFonts w:ascii="Arial" w:eastAsia="Times New Roman" w:hAnsi="Arial" w:cs="Arial"/>
          <w:color w:val="000000"/>
          <w:sz w:val="21"/>
          <w:szCs w:val="21"/>
        </w:rPr>
        <w:t>Total debt ratio</w:t>
      </w:r>
    </w:p>
    <w:p w14:paraId="42B461E1" w14:textId="77777777" w:rsidR="00FE404F" w:rsidRPr="00FE404F" w:rsidRDefault="00FE404F" w:rsidP="00FE404F">
      <w:pPr>
        <w:numPr>
          <w:ilvl w:val="1"/>
          <w:numId w:val="1"/>
        </w:numPr>
        <w:shd w:val="clear" w:color="auto" w:fill="FFFFFF"/>
        <w:spacing w:before="100" w:beforeAutospacing="1" w:after="100" w:afterAutospacing="1" w:line="240" w:lineRule="auto"/>
        <w:rPr>
          <w:rFonts w:ascii="Arial" w:eastAsia="Times New Roman" w:hAnsi="Arial" w:cs="Arial"/>
          <w:color w:val="000000"/>
          <w:sz w:val="21"/>
          <w:szCs w:val="21"/>
        </w:rPr>
      </w:pPr>
      <w:r w:rsidRPr="00FE404F">
        <w:rPr>
          <w:rFonts w:ascii="Arial" w:eastAsia="Times New Roman" w:hAnsi="Arial" w:cs="Arial"/>
          <w:color w:val="000000"/>
          <w:sz w:val="21"/>
          <w:szCs w:val="21"/>
        </w:rPr>
        <w:t>Times interest earned</w:t>
      </w:r>
    </w:p>
    <w:p w14:paraId="1D1BD433" w14:textId="77777777" w:rsidR="00FE404F" w:rsidRPr="00FE404F" w:rsidRDefault="00FE404F" w:rsidP="00FE404F">
      <w:pPr>
        <w:numPr>
          <w:ilvl w:val="1"/>
          <w:numId w:val="1"/>
        </w:numPr>
        <w:shd w:val="clear" w:color="auto" w:fill="FFFFFF"/>
        <w:spacing w:before="100" w:beforeAutospacing="1" w:after="100" w:afterAutospacing="1" w:line="240" w:lineRule="auto"/>
        <w:rPr>
          <w:rFonts w:ascii="Arial" w:eastAsia="Times New Roman" w:hAnsi="Arial" w:cs="Arial"/>
          <w:color w:val="000000"/>
          <w:sz w:val="21"/>
          <w:szCs w:val="21"/>
        </w:rPr>
      </w:pPr>
      <w:r w:rsidRPr="00FE404F">
        <w:rPr>
          <w:rFonts w:ascii="Arial" w:eastAsia="Times New Roman" w:hAnsi="Arial" w:cs="Arial"/>
          <w:color w:val="000000"/>
          <w:sz w:val="21"/>
          <w:szCs w:val="21"/>
        </w:rPr>
        <w:t>Cash coverage ratio</w:t>
      </w:r>
    </w:p>
    <w:p w14:paraId="4FA86BBD" w14:textId="77777777" w:rsidR="00FE404F" w:rsidRPr="00FE404F" w:rsidRDefault="00FE404F" w:rsidP="00FE404F">
      <w:pPr>
        <w:numPr>
          <w:ilvl w:val="0"/>
          <w:numId w:val="1"/>
        </w:numPr>
        <w:shd w:val="clear" w:color="auto" w:fill="FFFFFF"/>
        <w:spacing w:before="100" w:beforeAutospacing="1" w:after="100" w:afterAutospacing="1" w:line="240" w:lineRule="auto"/>
        <w:rPr>
          <w:rFonts w:ascii="Arial" w:eastAsia="Times New Roman" w:hAnsi="Arial" w:cs="Arial"/>
          <w:color w:val="000000"/>
          <w:sz w:val="21"/>
          <w:szCs w:val="21"/>
        </w:rPr>
      </w:pPr>
      <w:r w:rsidRPr="00FE404F">
        <w:rPr>
          <w:rFonts w:ascii="Arial" w:eastAsia="Times New Roman" w:hAnsi="Arial" w:cs="Arial"/>
          <w:color w:val="000000"/>
          <w:sz w:val="21"/>
          <w:szCs w:val="21"/>
        </w:rPr>
        <w:t>Measuring liquidity—short-term solvency or liquidity measures</w:t>
      </w:r>
    </w:p>
    <w:p w14:paraId="0B3A08E1" w14:textId="77777777" w:rsidR="00FE404F" w:rsidRPr="00FE404F" w:rsidRDefault="00FE404F" w:rsidP="00FE404F">
      <w:pPr>
        <w:numPr>
          <w:ilvl w:val="1"/>
          <w:numId w:val="1"/>
        </w:numPr>
        <w:shd w:val="clear" w:color="auto" w:fill="FFFFFF"/>
        <w:spacing w:before="100" w:beforeAutospacing="1" w:after="100" w:afterAutospacing="1" w:line="240" w:lineRule="auto"/>
        <w:rPr>
          <w:rFonts w:ascii="Arial" w:eastAsia="Times New Roman" w:hAnsi="Arial" w:cs="Arial"/>
          <w:color w:val="000000"/>
          <w:sz w:val="21"/>
          <w:szCs w:val="21"/>
        </w:rPr>
      </w:pPr>
      <w:r w:rsidRPr="00FE404F">
        <w:rPr>
          <w:rFonts w:ascii="Arial" w:eastAsia="Times New Roman" w:hAnsi="Arial" w:cs="Arial"/>
          <w:color w:val="000000"/>
          <w:sz w:val="21"/>
          <w:szCs w:val="21"/>
        </w:rPr>
        <w:t>NWC to total assets ratio</w:t>
      </w:r>
    </w:p>
    <w:p w14:paraId="4C7363B3" w14:textId="77777777" w:rsidR="00FE404F" w:rsidRPr="00FE404F" w:rsidRDefault="00FE404F" w:rsidP="00FE404F">
      <w:pPr>
        <w:numPr>
          <w:ilvl w:val="1"/>
          <w:numId w:val="1"/>
        </w:numPr>
        <w:shd w:val="clear" w:color="auto" w:fill="FFFFFF"/>
        <w:spacing w:before="100" w:beforeAutospacing="1" w:after="100" w:afterAutospacing="1" w:line="240" w:lineRule="auto"/>
        <w:rPr>
          <w:rFonts w:ascii="Arial" w:eastAsia="Times New Roman" w:hAnsi="Arial" w:cs="Arial"/>
          <w:color w:val="000000"/>
          <w:sz w:val="21"/>
          <w:szCs w:val="21"/>
        </w:rPr>
      </w:pPr>
      <w:r w:rsidRPr="00FE404F">
        <w:rPr>
          <w:rFonts w:ascii="Arial" w:eastAsia="Times New Roman" w:hAnsi="Arial" w:cs="Arial"/>
          <w:color w:val="000000"/>
          <w:sz w:val="21"/>
          <w:szCs w:val="21"/>
        </w:rPr>
        <w:t>Current ratio</w:t>
      </w:r>
    </w:p>
    <w:p w14:paraId="01C49A34" w14:textId="77777777" w:rsidR="00FE404F" w:rsidRPr="00FE404F" w:rsidRDefault="00FE404F" w:rsidP="00FE404F">
      <w:pPr>
        <w:numPr>
          <w:ilvl w:val="1"/>
          <w:numId w:val="1"/>
        </w:numPr>
        <w:shd w:val="clear" w:color="auto" w:fill="FFFFFF"/>
        <w:spacing w:before="100" w:beforeAutospacing="1" w:after="100" w:afterAutospacing="1" w:line="240" w:lineRule="auto"/>
        <w:rPr>
          <w:rFonts w:ascii="Arial" w:eastAsia="Times New Roman" w:hAnsi="Arial" w:cs="Arial"/>
          <w:color w:val="000000"/>
          <w:sz w:val="21"/>
          <w:szCs w:val="21"/>
        </w:rPr>
      </w:pPr>
      <w:r w:rsidRPr="00FE404F">
        <w:rPr>
          <w:rFonts w:ascii="Arial" w:eastAsia="Times New Roman" w:hAnsi="Arial" w:cs="Arial"/>
          <w:color w:val="000000"/>
          <w:sz w:val="21"/>
          <w:szCs w:val="21"/>
        </w:rPr>
        <w:t>Quick ratio</w:t>
      </w:r>
    </w:p>
    <w:p w14:paraId="6E5C7E00" w14:textId="77777777" w:rsidR="00FE404F" w:rsidRPr="00FE404F" w:rsidRDefault="00FE404F" w:rsidP="00FE404F">
      <w:pPr>
        <w:numPr>
          <w:ilvl w:val="1"/>
          <w:numId w:val="1"/>
        </w:numPr>
        <w:shd w:val="clear" w:color="auto" w:fill="FFFFFF"/>
        <w:spacing w:before="100" w:beforeAutospacing="1" w:after="100" w:afterAutospacing="1" w:line="240" w:lineRule="auto"/>
        <w:rPr>
          <w:rFonts w:ascii="Arial" w:eastAsia="Times New Roman" w:hAnsi="Arial" w:cs="Arial"/>
          <w:color w:val="000000"/>
          <w:sz w:val="21"/>
          <w:szCs w:val="21"/>
        </w:rPr>
      </w:pPr>
      <w:r w:rsidRPr="00FE404F">
        <w:rPr>
          <w:rFonts w:ascii="Arial" w:eastAsia="Times New Roman" w:hAnsi="Arial" w:cs="Arial"/>
          <w:color w:val="000000"/>
          <w:sz w:val="21"/>
          <w:szCs w:val="21"/>
        </w:rPr>
        <w:t>Cash ratio</w:t>
      </w:r>
    </w:p>
    <w:p w14:paraId="6D5AC048" w14:textId="77777777" w:rsidR="00FE404F" w:rsidRPr="00FE404F" w:rsidRDefault="00FE404F" w:rsidP="00FE404F">
      <w:pPr>
        <w:numPr>
          <w:ilvl w:val="0"/>
          <w:numId w:val="1"/>
        </w:numPr>
        <w:shd w:val="clear" w:color="auto" w:fill="FFFFFF"/>
        <w:spacing w:before="100" w:beforeAutospacing="1" w:after="100" w:afterAutospacing="1" w:line="240" w:lineRule="auto"/>
        <w:rPr>
          <w:rFonts w:ascii="Arial" w:eastAsia="Times New Roman" w:hAnsi="Arial" w:cs="Arial"/>
          <w:color w:val="000000"/>
          <w:sz w:val="21"/>
          <w:szCs w:val="21"/>
        </w:rPr>
      </w:pPr>
      <w:r w:rsidRPr="00FE404F">
        <w:rPr>
          <w:rFonts w:ascii="Arial" w:eastAsia="Times New Roman" w:hAnsi="Arial" w:cs="Arial"/>
          <w:color w:val="000000"/>
          <w:sz w:val="21"/>
          <w:szCs w:val="21"/>
        </w:rPr>
        <w:t>Growth measures:</w:t>
      </w:r>
    </w:p>
    <w:p w14:paraId="4D8F8BDB" w14:textId="77777777" w:rsidR="00FE404F" w:rsidRPr="00FE404F" w:rsidRDefault="00FE404F" w:rsidP="00FE404F">
      <w:pPr>
        <w:numPr>
          <w:ilvl w:val="1"/>
          <w:numId w:val="1"/>
        </w:numPr>
        <w:shd w:val="clear" w:color="auto" w:fill="FFFFFF"/>
        <w:spacing w:before="100" w:beforeAutospacing="1" w:after="100" w:afterAutospacing="1" w:line="240" w:lineRule="auto"/>
        <w:rPr>
          <w:rFonts w:ascii="Arial" w:eastAsia="Times New Roman" w:hAnsi="Arial" w:cs="Arial"/>
          <w:color w:val="000000"/>
          <w:sz w:val="21"/>
          <w:szCs w:val="21"/>
        </w:rPr>
      </w:pPr>
      <w:r w:rsidRPr="00FE404F">
        <w:rPr>
          <w:rFonts w:ascii="Arial" w:eastAsia="Times New Roman" w:hAnsi="Arial" w:cs="Arial"/>
          <w:color w:val="000000"/>
          <w:sz w:val="21"/>
          <w:szCs w:val="21"/>
        </w:rPr>
        <w:t>Payout ratio</w:t>
      </w:r>
    </w:p>
    <w:p w14:paraId="16F53A96" w14:textId="77777777" w:rsidR="00FE404F" w:rsidRPr="00FE404F" w:rsidRDefault="00FE404F" w:rsidP="00FE404F">
      <w:pPr>
        <w:numPr>
          <w:ilvl w:val="1"/>
          <w:numId w:val="1"/>
        </w:numPr>
        <w:shd w:val="clear" w:color="auto" w:fill="FFFFFF"/>
        <w:spacing w:before="100" w:beforeAutospacing="1" w:after="100" w:afterAutospacing="1" w:line="240" w:lineRule="auto"/>
        <w:rPr>
          <w:rFonts w:ascii="Arial" w:eastAsia="Times New Roman" w:hAnsi="Arial" w:cs="Arial"/>
          <w:color w:val="000000"/>
          <w:sz w:val="21"/>
          <w:szCs w:val="21"/>
        </w:rPr>
      </w:pPr>
      <w:r w:rsidRPr="00FE404F">
        <w:rPr>
          <w:rFonts w:ascii="Arial" w:eastAsia="Times New Roman" w:hAnsi="Arial" w:cs="Arial"/>
          <w:color w:val="000000"/>
          <w:sz w:val="21"/>
          <w:szCs w:val="21"/>
        </w:rPr>
        <w:t>Sustainable growth</w:t>
      </w:r>
    </w:p>
    <w:p w14:paraId="58D540CA" w14:textId="77777777" w:rsidR="00FE404F" w:rsidRPr="00FE404F" w:rsidRDefault="00FE404F" w:rsidP="00FE404F">
      <w:pPr>
        <w:shd w:val="clear" w:color="auto" w:fill="FFFFFF"/>
        <w:spacing w:after="100" w:afterAutospacing="1" w:line="240" w:lineRule="auto"/>
        <w:rPr>
          <w:rFonts w:ascii="Arial" w:eastAsia="Times New Roman" w:hAnsi="Arial" w:cs="Arial"/>
          <w:color w:val="000000"/>
          <w:sz w:val="21"/>
          <w:szCs w:val="21"/>
        </w:rPr>
      </w:pPr>
      <w:r w:rsidRPr="00FE404F">
        <w:rPr>
          <w:rFonts w:ascii="Arial" w:eastAsia="Times New Roman" w:hAnsi="Arial" w:cs="Arial"/>
          <w:color w:val="000000"/>
          <w:sz w:val="21"/>
          <w:szCs w:val="21"/>
        </w:rPr>
        <w:lastRenderedPageBreak/>
        <w:t>For each ratio, comment on how it would be viewed relative to the competitor or industry. You cannot just say that a ratio is higher than average or lower than average; you must explain WHAT the ratio means and WHY the value would be viewed either positively or negatively.</w:t>
      </w:r>
    </w:p>
    <w:p w14:paraId="08237D59" w14:textId="77777777" w:rsidR="00FE404F" w:rsidRPr="00FE404F" w:rsidRDefault="00FE404F" w:rsidP="00FE404F">
      <w:pPr>
        <w:shd w:val="clear" w:color="auto" w:fill="FFFFFF"/>
        <w:spacing w:after="100" w:afterAutospacing="1" w:line="240" w:lineRule="auto"/>
        <w:rPr>
          <w:rFonts w:ascii="Arial" w:eastAsia="Times New Roman" w:hAnsi="Arial" w:cs="Arial"/>
          <w:color w:val="000000"/>
          <w:sz w:val="21"/>
          <w:szCs w:val="21"/>
        </w:rPr>
      </w:pPr>
      <w:r w:rsidRPr="00FE404F">
        <w:rPr>
          <w:rFonts w:ascii="Arial" w:eastAsia="Times New Roman" w:hAnsi="Arial" w:cs="Arial"/>
          <w:color w:val="000000"/>
          <w:sz w:val="21"/>
          <w:szCs w:val="21"/>
        </w:rPr>
        <w:t xml:space="preserve">For example, suppose you calculate the inventory turnover ratio. How would you interpret the ratio? How </w:t>
      </w:r>
      <w:proofErr w:type="spellStart"/>
      <w:r w:rsidRPr="00FE404F">
        <w:rPr>
          <w:rFonts w:ascii="Arial" w:eastAsia="Times New Roman" w:hAnsi="Arial" w:cs="Arial"/>
          <w:color w:val="000000"/>
          <w:sz w:val="21"/>
          <w:szCs w:val="21"/>
        </w:rPr>
        <w:t>dos</w:t>
      </w:r>
      <w:proofErr w:type="spellEnd"/>
      <w:r w:rsidRPr="00FE404F">
        <w:rPr>
          <w:rFonts w:ascii="Arial" w:eastAsia="Times New Roman" w:hAnsi="Arial" w:cs="Arial"/>
          <w:color w:val="000000"/>
          <w:sz w:val="21"/>
          <w:szCs w:val="21"/>
        </w:rPr>
        <w:t xml:space="preserve"> your company compare to the industry averages for this ratio? Is it better to have higher or lower inventory turnover in this industry or does it not matter so much?</w:t>
      </w:r>
    </w:p>
    <w:p w14:paraId="548C6B64" w14:textId="77777777" w:rsidR="00FE404F" w:rsidRPr="00FE404F" w:rsidRDefault="00FE404F" w:rsidP="00FE404F">
      <w:pPr>
        <w:shd w:val="clear" w:color="auto" w:fill="FFFFFF"/>
        <w:spacing w:after="100" w:afterAutospacing="1" w:line="240" w:lineRule="auto"/>
        <w:rPr>
          <w:rFonts w:ascii="Arial" w:eastAsia="Times New Roman" w:hAnsi="Arial" w:cs="Arial"/>
          <w:color w:val="000000"/>
          <w:sz w:val="21"/>
          <w:szCs w:val="21"/>
        </w:rPr>
      </w:pPr>
      <w:r w:rsidRPr="00FE404F">
        <w:rPr>
          <w:rFonts w:ascii="Arial" w:eastAsia="Times New Roman" w:hAnsi="Arial" w:cs="Arial"/>
          <w:color w:val="000000"/>
          <w:sz w:val="21"/>
          <w:szCs w:val="21"/>
        </w:rPr>
        <w:t>You will need to find cost of capital for the McDonald’s industry to calculate EVA. This is the link to the dataset with different industries’ costs of capital (WACC):</w:t>
      </w:r>
    </w:p>
    <w:p w14:paraId="4C5A5ECF" w14:textId="0B95041F" w:rsidR="003779EC" w:rsidRDefault="00FE404F">
      <w:hyperlink r:id="rId5" w:tgtFrame="_blank" w:history="1">
        <w:r>
          <w:rPr>
            <w:rStyle w:val="Hyperlink"/>
            <w:rFonts w:ascii="Arial" w:hAnsi="Arial" w:cs="Arial"/>
            <w:color w:val="000000"/>
            <w:sz w:val="21"/>
            <w:szCs w:val="21"/>
            <w:shd w:val="clear" w:color="auto" w:fill="FFFFFF"/>
          </w:rPr>
          <w:t>http://pages.stern.nyu.edu/~adamodar/New_Home_Page/datafile/wacc.htm</w:t>
        </w:r>
      </w:hyperlink>
    </w:p>
    <w:p w14:paraId="6ECBBF19" w14:textId="196F17DF" w:rsidR="006D2DE6" w:rsidRDefault="006D2DE6"/>
    <w:p w14:paraId="2DA7BCC6" w14:textId="77777777" w:rsidR="006D2DE6" w:rsidRDefault="006D2DE6" w:rsidP="006D2DE6">
      <w:pPr>
        <w:pStyle w:val="Heading4"/>
        <w:shd w:val="clear" w:color="auto" w:fill="FFFFFF"/>
        <w:spacing w:before="0"/>
        <w:rPr>
          <w:rFonts w:ascii="Arial" w:hAnsi="Arial" w:cs="Arial"/>
          <w:color w:val="000000"/>
        </w:rPr>
      </w:pPr>
      <w:r>
        <w:rPr>
          <w:rFonts w:ascii="Arial" w:hAnsi="Arial" w:cs="Arial"/>
          <w:b/>
          <w:bCs/>
          <w:color w:val="000000"/>
        </w:rPr>
        <w:t>Deliverables:</w:t>
      </w:r>
    </w:p>
    <w:p w14:paraId="1701B123" w14:textId="2C01533F" w:rsidR="006D2DE6" w:rsidRDefault="006D2DE6" w:rsidP="006D2DE6">
      <w:pPr>
        <w:pStyle w:val="NormalWeb"/>
        <w:shd w:val="clear" w:color="auto" w:fill="FFFFFF"/>
        <w:spacing w:before="0" w:beforeAutospacing="0"/>
        <w:rPr>
          <w:rFonts w:ascii="Arial" w:hAnsi="Arial" w:cs="Arial"/>
          <w:color w:val="000000"/>
          <w:sz w:val="21"/>
          <w:szCs w:val="21"/>
        </w:rPr>
      </w:pPr>
      <w:r>
        <w:rPr>
          <w:rFonts w:ascii="Arial" w:hAnsi="Arial" w:cs="Arial"/>
          <w:color w:val="000000"/>
          <w:sz w:val="21"/>
          <w:szCs w:val="21"/>
        </w:rPr>
        <w:t xml:space="preserve">Provide a report in Excel </w:t>
      </w:r>
      <w:bookmarkStart w:id="0" w:name="_GoBack"/>
      <w:bookmarkEnd w:id="0"/>
      <w:r>
        <w:rPr>
          <w:rFonts w:ascii="Arial" w:hAnsi="Arial" w:cs="Arial"/>
          <w:color w:val="000000"/>
          <w:sz w:val="21"/>
          <w:szCs w:val="21"/>
        </w:rPr>
        <w:t>with financial statements and all formulas in a following format:</w:t>
      </w:r>
    </w:p>
    <w:tbl>
      <w:tblPr>
        <w:tblW w:w="10575" w:type="dxa"/>
        <w:tblBorders>
          <w:top w:val="single" w:sz="6" w:space="0" w:color="000000"/>
          <w:left w:val="single" w:sz="6" w:space="0" w:color="000000"/>
          <w:bottom w:val="single" w:sz="6" w:space="0" w:color="000000"/>
          <w:right w:val="single" w:sz="6" w:space="0" w:color="000000"/>
        </w:tblBorders>
        <w:shd w:val="clear" w:color="auto" w:fill="FFFFFF"/>
        <w:tblCellMar>
          <w:top w:w="75" w:type="dxa"/>
          <w:left w:w="75" w:type="dxa"/>
          <w:bottom w:w="75" w:type="dxa"/>
          <w:right w:w="75" w:type="dxa"/>
        </w:tblCellMar>
        <w:tblLook w:val="04A0" w:firstRow="1" w:lastRow="0" w:firstColumn="1" w:lastColumn="0" w:noHBand="0" w:noVBand="1"/>
        <w:tblDescription w:val="Performance Measure or Ratio McDonald’s Competitor Industry AverageCommentPerformance Measures:MVA   Market-to-Book Ratio   Economic Value Added and Profitability Measures:"/>
      </w:tblPr>
      <w:tblGrid>
        <w:gridCol w:w="4446"/>
        <w:gridCol w:w="1837"/>
        <w:gridCol w:w="1734"/>
        <w:gridCol w:w="2558"/>
      </w:tblGrid>
      <w:tr w:rsidR="006D2DE6" w14:paraId="1414F06F" w14:textId="77777777" w:rsidTr="006D2DE6">
        <w:trPr>
          <w:tblHeader/>
        </w:trPr>
        <w:tc>
          <w:tcPr>
            <w:tcW w:w="0" w:type="auto"/>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36F53E8E" w14:textId="77777777" w:rsidR="006D2DE6" w:rsidRDefault="006D2DE6">
            <w:pPr>
              <w:pStyle w:val="NormalWeb"/>
              <w:spacing w:before="0" w:beforeAutospacing="0" w:after="0" w:afterAutospacing="0"/>
              <w:rPr>
                <w:rFonts w:ascii="Arial" w:hAnsi="Arial" w:cs="Arial"/>
                <w:color w:val="000000"/>
                <w:sz w:val="21"/>
                <w:szCs w:val="21"/>
              </w:rPr>
            </w:pPr>
            <w:r>
              <w:rPr>
                <w:rFonts w:ascii="Arial" w:hAnsi="Arial" w:cs="Arial"/>
                <w:color w:val="000000"/>
                <w:sz w:val="21"/>
                <w:szCs w:val="21"/>
              </w:rPr>
              <w:t>Performance Measure or Ratio</w:t>
            </w:r>
          </w:p>
        </w:tc>
        <w:tc>
          <w:tcPr>
            <w:tcW w:w="0" w:type="auto"/>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796D9D92" w14:textId="77777777" w:rsidR="006D2DE6" w:rsidRDefault="006D2DE6">
            <w:pPr>
              <w:pStyle w:val="NormalWeb"/>
              <w:spacing w:before="0" w:beforeAutospacing="0" w:after="0" w:afterAutospacing="0"/>
              <w:rPr>
                <w:rFonts w:ascii="Arial" w:hAnsi="Arial" w:cs="Arial"/>
                <w:color w:val="000000"/>
                <w:sz w:val="21"/>
                <w:szCs w:val="21"/>
              </w:rPr>
            </w:pPr>
            <w:r>
              <w:rPr>
                <w:rFonts w:ascii="Arial" w:hAnsi="Arial" w:cs="Arial"/>
                <w:color w:val="000000"/>
                <w:sz w:val="21"/>
                <w:szCs w:val="21"/>
              </w:rPr>
              <w:t>McDonald’s</w:t>
            </w:r>
          </w:p>
        </w:tc>
        <w:tc>
          <w:tcPr>
            <w:tcW w:w="0" w:type="auto"/>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7D42D33C" w14:textId="77777777" w:rsidR="006D2DE6" w:rsidRDefault="006D2DE6">
            <w:pPr>
              <w:pStyle w:val="NormalWeb"/>
              <w:spacing w:before="0" w:beforeAutospacing="0" w:after="0" w:afterAutospacing="0"/>
              <w:rPr>
                <w:rFonts w:ascii="Arial" w:hAnsi="Arial" w:cs="Arial"/>
                <w:color w:val="000000"/>
                <w:sz w:val="21"/>
                <w:szCs w:val="21"/>
              </w:rPr>
            </w:pPr>
            <w:r>
              <w:rPr>
                <w:rFonts w:ascii="Arial" w:hAnsi="Arial" w:cs="Arial"/>
                <w:color w:val="000000"/>
                <w:sz w:val="21"/>
                <w:szCs w:val="21"/>
              </w:rPr>
              <w:t>Competitor</w:t>
            </w:r>
          </w:p>
        </w:tc>
        <w:tc>
          <w:tcPr>
            <w:tcW w:w="0" w:type="auto"/>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07AEA5E7" w14:textId="77777777" w:rsidR="006D2DE6" w:rsidRDefault="006D2DE6">
            <w:pPr>
              <w:pStyle w:val="NormalWeb"/>
              <w:spacing w:before="0" w:beforeAutospacing="0" w:after="0" w:afterAutospacing="0"/>
              <w:rPr>
                <w:rFonts w:ascii="Arial" w:hAnsi="Arial" w:cs="Arial"/>
                <w:color w:val="000000"/>
                <w:sz w:val="21"/>
                <w:szCs w:val="21"/>
              </w:rPr>
            </w:pPr>
            <w:r>
              <w:rPr>
                <w:rFonts w:ascii="Arial" w:hAnsi="Arial" w:cs="Arial"/>
                <w:color w:val="000000"/>
                <w:sz w:val="21"/>
                <w:szCs w:val="21"/>
              </w:rPr>
              <w:t>Industry Average</w:t>
            </w:r>
          </w:p>
          <w:p w14:paraId="521F4132" w14:textId="77777777" w:rsidR="006D2DE6" w:rsidRDefault="006D2DE6">
            <w:pPr>
              <w:pStyle w:val="NormalWeb"/>
              <w:spacing w:before="0" w:beforeAutospacing="0" w:after="0" w:afterAutospacing="0"/>
              <w:rPr>
                <w:rFonts w:ascii="Arial" w:hAnsi="Arial" w:cs="Arial"/>
                <w:color w:val="000000"/>
                <w:sz w:val="21"/>
                <w:szCs w:val="21"/>
              </w:rPr>
            </w:pPr>
            <w:r>
              <w:rPr>
                <w:rFonts w:ascii="Arial" w:hAnsi="Arial" w:cs="Arial"/>
                <w:color w:val="000000"/>
                <w:sz w:val="21"/>
                <w:szCs w:val="21"/>
              </w:rPr>
              <w:t>Comment</w:t>
            </w:r>
          </w:p>
        </w:tc>
      </w:tr>
      <w:tr w:rsidR="006D2DE6" w14:paraId="1D226C55" w14:textId="77777777" w:rsidTr="006D2DE6">
        <w:tc>
          <w:tcPr>
            <w:tcW w:w="0" w:type="auto"/>
            <w:gridSpan w:val="4"/>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0258A0EE" w14:textId="77777777" w:rsidR="006D2DE6" w:rsidRDefault="006D2DE6">
            <w:pPr>
              <w:pStyle w:val="NormalWeb"/>
              <w:spacing w:before="0" w:beforeAutospacing="0" w:after="0" w:afterAutospacing="0"/>
              <w:rPr>
                <w:rFonts w:ascii="Arial" w:hAnsi="Arial" w:cs="Arial"/>
                <w:color w:val="000000"/>
                <w:sz w:val="21"/>
                <w:szCs w:val="21"/>
              </w:rPr>
            </w:pPr>
            <w:r>
              <w:rPr>
                <w:rFonts w:ascii="Arial" w:hAnsi="Arial" w:cs="Arial"/>
                <w:color w:val="000000"/>
                <w:sz w:val="21"/>
                <w:szCs w:val="21"/>
              </w:rPr>
              <w:t>Performance Measures:</w:t>
            </w:r>
          </w:p>
        </w:tc>
      </w:tr>
      <w:tr w:rsidR="006D2DE6" w14:paraId="328B8F6E" w14:textId="77777777" w:rsidTr="006D2DE6">
        <w:tc>
          <w:tcPr>
            <w:tcW w:w="0" w:type="auto"/>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4CA2B041" w14:textId="77777777" w:rsidR="006D2DE6" w:rsidRDefault="006D2DE6">
            <w:pPr>
              <w:pStyle w:val="NormalWeb"/>
              <w:spacing w:before="0" w:beforeAutospacing="0" w:after="0" w:afterAutospacing="0"/>
              <w:rPr>
                <w:rFonts w:ascii="Arial" w:hAnsi="Arial" w:cs="Arial"/>
                <w:color w:val="000000"/>
                <w:sz w:val="21"/>
                <w:szCs w:val="21"/>
              </w:rPr>
            </w:pPr>
            <w:r>
              <w:rPr>
                <w:rFonts w:ascii="Arial" w:hAnsi="Arial" w:cs="Arial"/>
                <w:color w:val="000000"/>
                <w:sz w:val="21"/>
                <w:szCs w:val="21"/>
              </w:rPr>
              <w:t>MVA</w:t>
            </w:r>
          </w:p>
        </w:tc>
        <w:tc>
          <w:tcPr>
            <w:tcW w:w="0" w:type="auto"/>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18508103" w14:textId="77777777" w:rsidR="006D2DE6" w:rsidRDefault="006D2DE6">
            <w:pPr>
              <w:pStyle w:val="NormalWeb"/>
              <w:spacing w:before="0" w:beforeAutospacing="0" w:after="0" w:afterAutospacing="0"/>
              <w:rPr>
                <w:rFonts w:ascii="Arial" w:hAnsi="Arial" w:cs="Arial"/>
                <w:color w:val="000000"/>
                <w:sz w:val="21"/>
                <w:szCs w:val="21"/>
              </w:rPr>
            </w:pPr>
            <w:r>
              <w:rPr>
                <w:rFonts w:ascii="Arial" w:hAnsi="Arial" w:cs="Arial"/>
                <w:color w:val="000000"/>
                <w:sz w:val="21"/>
                <w:szCs w:val="21"/>
              </w:rPr>
              <w:t> </w:t>
            </w:r>
          </w:p>
        </w:tc>
        <w:tc>
          <w:tcPr>
            <w:tcW w:w="0" w:type="auto"/>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637209EF" w14:textId="77777777" w:rsidR="006D2DE6" w:rsidRDefault="006D2DE6">
            <w:pPr>
              <w:pStyle w:val="NormalWeb"/>
              <w:spacing w:before="0" w:beforeAutospacing="0" w:after="0" w:afterAutospacing="0"/>
              <w:rPr>
                <w:rFonts w:ascii="Arial" w:hAnsi="Arial" w:cs="Arial"/>
                <w:color w:val="000000"/>
                <w:sz w:val="21"/>
                <w:szCs w:val="21"/>
              </w:rPr>
            </w:pPr>
            <w:r>
              <w:rPr>
                <w:rFonts w:ascii="Arial" w:hAnsi="Arial" w:cs="Arial"/>
                <w:color w:val="000000"/>
                <w:sz w:val="21"/>
                <w:szCs w:val="21"/>
              </w:rPr>
              <w:t> </w:t>
            </w:r>
          </w:p>
        </w:tc>
        <w:tc>
          <w:tcPr>
            <w:tcW w:w="0" w:type="auto"/>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28F3F85B" w14:textId="77777777" w:rsidR="006D2DE6" w:rsidRDefault="006D2DE6">
            <w:pPr>
              <w:pStyle w:val="NormalWeb"/>
              <w:spacing w:before="0" w:beforeAutospacing="0" w:after="0" w:afterAutospacing="0"/>
              <w:rPr>
                <w:rFonts w:ascii="Arial" w:hAnsi="Arial" w:cs="Arial"/>
                <w:color w:val="000000"/>
                <w:sz w:val="21"/>
                <w:szCs w:val="21"/>
              </w:rPr>
            </w:pPr>
            <w:r>
              <w:rPr>
                <w:rFonts w:ascii="Arial" w:hAnsi="Arial" w:cs="Arial"/>
                <w:color w:val="000000"/>
                <w:sz w:val="21"/>
                <w:szCs w:val="21"/>
              </w:rPr>
              <w:t> </w:t>
            </w:r>
          </w:p>
        </w:tc>
      </w:tr>
      <w:tr w:rsidR="006D2DE6" w14:paraId="1F18A1EB" w14:textId="77777777" w:rsidTr="006D2DE6">
        <w:tc>
          <w:tcPr>
            <w:tcW w:w="0" w:type="auto"/>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2F0A36AB" w14:textId="77777777" w:rsidR="006D2DE6" w:rsidRDefault="006D2DE6">
            <w:pPr>
              <w:pStyle w:val="NormalWeb"/>
              <w:spacing w:before="0" w:beforeAutospacing="0" w:after="0" w:afterAutospacing="0"/>
              <w:rPr>
                <w:rFonts w:ascii="Arial" w:hAnsi="Arial" w:cs="Arial"/>
                <w:color w:val="000000"/>
                <w:sz w:val="21"/>
                <w:szCs w:val="21"/>
              </w:rPr>
            </w:pPr>
            <w:r>
              <w:rPr>
                <w:rFonts w:ascii="Arial" w:hAnsi="Arial" w:cs="Arial"/>
                <w:color w:val="000000"/>
                <w:sz w:val="21"/>
                <w:szCs w:val="21"/>
              </w:rPr>
              <w:t>Market-to-Book Ratio</w:t>
            </w:r>
          </w:p>
        </w:tc>
        <w:tc>
          <w:tcPr>
            <w:tcW w:w="0" w:type="auto"/>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35E01171" w14:textId="77777777" w:rsidR="006D2DE6" w:rsidRDefault="006D2DE6">
            <w:pPr>
              <w:pStyle w:val="NormalWeb"/>
              <w:spacing w:before="0" w:beforeAutospacing="0" w:after="0" w:afterAutospacing="0"/>
              <w:rPr>
                <w:rFonts w:ascii="Arial" w:hAnsi="Arial" w:cs="Arial"/>
                <w:color w:val="000000"/>
                <w:sz w:val="21"/>
                <w:szCs w:val="21"/>
              </w:rPr>
            </w:pPr>
            <w:r>
              <w:rPr>
                <w:rFonts w:ascii="Arial" w:hAnsi="Arial" w:cs="Arial"/>
                <w:color w:val="000000"/>
                <w:sz w:val="21"/>
                <w:szCs w:val="21"/>
              </w:rPr>
              <w:t> </w:t>
            </w:r>
          </w:p>
        </w:tc>
        <w:tc>
          <w:tcPr>
            <w:tcW w:w="0" w:type="auto"/>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7009F54A" w14:textId="77777777" w:rsidR="006D2DE6" w:rsidRDefault="006D2DE6">
            <w:pPr>
              <w:pStyle w:val="NormalWeb"/>
              <w:spacing w:before="0" w:beforeAutospacing="0" w:after="0" w:afterAutospacing="0"/>
              <w:rPr>
                <w:rFonts w:ascii="Arial" w:hAnsi="Arial" w:cs="Arial"/>
                <w:color w:val="000000"/>
                <w:sz w:val="21"/>
                <w:szCs w:val="21"/>
              </w:rPr>
            </w:pPr>
            <w:r>
              <w:rPr>
                <w:rFonts w:ascii="Arial" w:hAnsi="Arial" w:cs="Arial"/>
                <w:color w:val="000000"/>
                <w:sz w:val="21"/>
                <w:szCs w:val="21"/>
              </w:rPr>
              <w:t> </w:t>
            </w:r>
          </w:p>
        </w:tc>
        <w:tc>
          <w:tcPr>
            <w:tcW w:w="0" w:type="auto"/>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4913FE89" w14:textId="77777777" w:rsidR="006D2DE6" w:rsidRDefault="006D2DE6">
            <w:pPr>
              <w:pStyle w:val="NormalWeb"/>
              <w:spacing w:before="0" w:beforeAutospacing="0" w:after="0" w:afterAutospacing="0"/>
              <w:rPr>
                <w:rFonts w:ascii="Arial" w:hAnsi="Arial" w:cs="Arial"/>
                <w:color w:val="000000"/>
                <w:sz w:val="21"/>
                <w:szCs w:val="21"/>
              </w:rPr>
            </w:pPr>
            <w:r>
              <w:rPr>
                <w:rFonts w:ascii="Arial" w:hAnsi="Arial" w:cs="Arial"/>
                <w:color w:val="000000"/>
                <w:sz w:val="21"/>
                <w:szCs w:val="21"/>
              </w:rPr>
              <w:t> </w:t>
            </w:r>
          </w:p>
        </w:tc>
      </w:tr>
      <w:tr w:rsidR="006D2DE6" w14:paraId="506AE2AB" w14:textId="77777777" w:rsidTr="006D2DE6">
        <w:tc>
          <w:tcPr>
            <w:tcW w:w="0" w:type="auto"/>
            <w:gridSpan w:val="4"/>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0F08672D" w14:textId="77777777" w:rsidR="006D2DE6" w:rsidRDefault="006D2DE6">
            <w:pPr>
              <w:pStyle w:val="NormalWeb"/>
              <w:spacing w:before="0" w:beforeAutospacing="0" w:after="0" w:afterAutospacing="0"/>
              <w:rPr>
                <w:rFonts w:ascii="Arial" w:hAnsi="Arial" w:cs="Arial"/>
                <w:color w:val="000000"/>
                <w:sz w:val="21"/>
                <w:szCs w:val="21"/>
              </w:rPr>
            </w:pPr>
            <w:r>
              <w:rPr>
                <w:rFonts w:ascii="Arial" w:hAnsi="Arial" w:cs="Arial"/>
                <w:color w:val="000000"/>
                <w:sz w:val="21"/>
                <w:szCs w:val="21"/>
              </w:rPr>
              <w:t>Economic Value Added and Profitability Measures:</w:t>
            </w:r>
          </w:p>
        </w:tc>
      </w:tr>
    </w:tbl>
    <w:p w14:paraId="55F38E2B" w14:textId="77777777" w:rsidR="006D2DE6" w:rsidRDefault="006D2DE6"/>
    <w:sectPr w:rsidR="006D2DE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E254C44"/>
    <w:multiLevelType w:val="multilevel"/>
    <w:tmpl w:val="3E186852"/>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E404F"/>
    <w:rsid w:val="006D2DE6"/>
    <w:rsid w:val="00A50A54"/>
    <w:rsid w:val="00F55865"/>
    <w:rsid w:val="00FE404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B664BCD"/>
  <w15:chartTrackingRefBased/>
  <w15:docId w15:val="{CDAF43E7-C7F3-4B11-A253-39B931BAEEF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3">
    <w:name w:val="heading 3"/>
    <w:basedOn w:val="Normal"/>
    <w:link w:val="Heading3Char"/>
    <w:uiPriority w:val="9"/>
    <w:qFormat/>
    <w:rsid w:val="00FE404F"/>
    <w:pPr>
      <w:spacing w:before="100" w:beforeAutospacing="1" w:after="100" w:afterAutospacing="1" w:line="240" w:lineRule="auto"/>
      <w:outlineLvl w:val="2"/>
    </w:pPr>
    <w:rPr>
      <w:rFonts w:ascii="Times New Roman" w:eastAsia="Times New Roman" w:hAnsi="Times New Roman" w:cs="Times New Roman"/>
      <w:b/>
      <w:bCs/>
      <w:sz w:val="27"/>
      <w:szCs w:val="27"/>
    </w:rPr>
  </w:style>
  <w:style w:type="paragraph" w:styleId="Heading4">
    <w:name w:val="heading 4"/>
    <w:basedOn w:val="Normal"/>
    <w:next w:val="Normal"/>
    <w:link w:val="Heading4Char"/>
    <w:uiPriority w:val="9"/>
    <w:semiHidden/>
    <w:unhideWhenUsed/>
    <w:qFormat/>
    <w:rsid w:val="006D2DE6"/>
    <w:pPr>
      <w:keepNext/>
      <w:keepLines/>
      <w:spacing w:before="40" w:after="0"/>
      <w:outlineLvl w:val="3"/>
    </w:pPr>
    <w:rPr>
      <w:rFonts w:asciiTheme="majorHAnsi" w:eastAsiaTheme="majorEastAsia" w:hAnsiTheme="majorHAnsi" w:cstheme="majorBidi"/>
      <w:i/>
      <w:iCs/>
      <w:color w:val="2F5496"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
    <w:rsid w:val="00FE404F"/>
    <w:rPr>
      <w:rFonts w:ascii="Times New Roman" w:eastAsia="Times New Roman" w:hAnsi="Times New Roman" w:cs="Times New Roman"/>
      <w:b/>
      <w:bCs/>
      <w:sz w:val="27"/>
      <w:szCs w:val="27"/>
    </w:rPr>
  </w:style>
  <w:style w:type="paragraph" w:styleId="NormalWeb">
    <w:name w:val="Normal (Web)"/>
    <w:basedOn w:val="Normal"/>
    <w:uiPriority w:val="99"/>
    <w:semiHidden/>
    <w:unhideWhenUsed/>
    <w:rsid w:val="00FE404F"/>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semiHidden/>
    <w:unhideWhenUsed/>
    <w:rsid w:val="00FE404F"/>
    <w:rPr>
      <w:color w:val="0000FF"/>
      <w:u w:val="single"/>
    </w:rPr>
  </w:style>
  <w:style w:type="character" w:customStyle="1" w:styleId="Heading4Char">
    <w:name w:val="Heading 4 Char"/>
    <w:basedOn w:val="DefaultParagraphFont"/>
    <w:link w:val="Heading4"/>
    <w:uiPriority w:val="9"/>
    <w:semiHidden/>
    <w:rsid w:val="006D2DE6"/>
    <w:rPr>
      <w:rFonts w:asciiTheme="majorHAnsi" w:eastAsiaTheme="majorEastAsia" w:hAnsiTheme="majorHAnsi" w:cstheme="majorBidi"/>
      <w:i/>
      <w:iCs/>
      <w:color w:val="2F5496" w:themeColor="accent1" w:themeShade="B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165247551">
      <w:bodyDiv w:val="1"/>
      <w:marLeft w:val="0"/>
      <w:marRight w:val="0"/>
      <w:marTop w:val="0"/>
      <w:marBottom w:val="0"/>
      <w:divBdr>
        <w:top w:val="none" w:sz="0" w:space="0" w:color="auto"/>
        <w:left w:val="none" w:sz="0" w:space="0" w:color="auto"/>
        <w:bottom w:val="none" w:sz="0" w:space="0" w:color="auto"/>
        <w:right w:val="none" w:sz="0" w:space="0" w:color="auto"/>
      </w:divBdr>
    </w:div>
    <w:div w:id="13819815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pages.stern.nyu.edu/~adamodar/New_Home_Page/datafile/wacc.htm"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2</Pages>
  <Words>448</Words>
  <Characters>2554</Characters>
  <Application>Microsoft Office Word</Application>
  <DocSecurity>0</DocSecurity>
  <Lines>21</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solomon mbu besong</dc:creator>
  <cp:keywords/>
  <dc:description/>
  <cp:lastModifiedBy>solomon mbu besong</cp:lastModifiedBy>
  <cp:revision>2</cp:revision>
  <dcterms:created xsi:type="dcterms:W3CDTF">2018-09-26T10:05:00Z</dcterms:created>
  <dcterms:modified xsi:type="dcterms:W3CDTF">2018-09-26T10:10:00Z</dcterms:modified>
</cp:coreProperties>
</file>